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DEDF" w14:textId="77777777" w:rsidR="00DA199A" w:rsidRDefault="00DA199A">
      <w:pPr>
        <w:spacing w:after="205"/>
        <w:ind w:left="0" w:right="-4"/>
        <w:jc w:val="right"/>
        <w:rPr>
          <w:rFonts w:ascii="Times New Roman" w:eastAsia="Times New Roman" w:hAnsi="Times New Roman" w:cs="Times New Roman"/>
          <w:b w:val="0"/>
          <w:sz w:val="20"/>
        </w:rPr>
      </w:pPr>
    </w:p>
    <w:p w14:paraId="29D6B04F" w14:textId="09DF6D11" w:rsidR="00B97C1F" w:rsidRDefault="008E77B9">
      <w:pPr>
        <w:spacing w:after="205"/>
        <w:ind w:left="0" w:right="-4"/>
        <w:jc w:val="right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3D70DF07" w14:textId="51C32E5D" w:rsidR="00B97C1F" w:rsidRDefault="008E77B9">
      <w:r>
        <w:t xml:space="preserve">PE </w:t>
      </w:r>
      <w:r w:rsidR="000900F3">
        <w:t>&amp;</w:t>
      </w:r>
      <w:r w:rsidR="009D6F17">
        <w:t xml:space="preserve"> SPORT PREMIUM (PSP) REPORT 2022</w:t>
      </w:r>
      <w:r>
        <w:t>– 20</w:t>
      </w:r>
      <w:r w:rsidR="009D6F17">
        <w:t>23</w:t>
      </w:r>
    </w:p>
    <w:tbl>
      <w:tblPr>
        <w:tblStyle w:val="TableGrid1"/>
        <w:tblpPr w:vertAnchor="text" w:tblpX="2" w:tblpY="68"/>
        <w:tblOverlap w:val="never"/>
        <w:tblW w:w="8518" w:type="dxa"/>
        <w:tblInd w:w="0" w:type="dxa"/>
        <w:tblCellMar>
          <w:left w:w="109" w:type="dxa"/>
          <w:right w:w="24" w:type="dxa"/>
        </w:tblCellMar>
        <w:tblLook w:val="04A0" w:firstRow="1" w:lastRow="0" w:firstColumn="1" w:lastColumn="0" w:noHBand="0" w:noVBand="1"/>
      </w:tblPr>
      <w:tblGrid>
        <w:gridCol w:w="2095"/>
        <w:gridCol w:w="1416"/>
        <w:gridCol w:w="5007"/>
      </w:tblGrid>
      <w:tr w:rsidR="00B97C1F" w14:paraId="0D472D10" w14:textId="77777777" w:rsidTr="36BE5D1F">
        <w:trPr>
          <w:trHeight w:val="246"/>
        </w:trPr>
        <w:tc>
          <w:tcPr>
            <w:tcW w:w="8518" w:type="dxa"/>
            <w:gridSpan w:val="3"/>
            <w:tcBorders>
              <w:top w:val="single" w:sz="5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CFEFE"/>
          </w:tcPr>
          <w:p w14:paraId="33DEFB96" w14:textId="77777777" w:rsidR="00B97C1F" w:rsidRDefault="008E77B9">
            <w:pPr>
              <w:ind w:left="1"/>
            </w:pPr>
            <w:r>
              <w:rPr>
                <w:b w:val="0"/>
                <w:sz w:val="19"/>
              </w:rPr>
              <w:t xml:space="preserve">PSP Grant Awarded </w:t>
            </w:r>
          </w:p>
        </w:tc>
      </w:tr>
      <w:tr w:rsidR="00B97C1F" w14:paraId="218B066F" w14:textId="77777777" w:rsidTr="36BE5D1F">
        <w:trPr>
          <w:trHeight w:val="268"/>
        </w:trPr>
        <w:tc>
          <w:tcPr>
            <w:tcW w:w="3511" w:type="dxa"/>
            <w:gridSpan w:val="2"/>
            <w:tcBorders>
              <w:top w:val="single" w:sz="5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049296" w14:textId="77777777" w:rsidR="00B97C1F" w:rsidRDefault="008E77B9">
            <w:pPr>
              <w:ind w:left="1"/>
            </w:pPr>
            <w:r>
              <w:rPr>
                <w:b w:val="0"/>
                <w:sz w:val="19"/>
              </w:rPr>
              <w:t xml:space="preserve">Total number of pupils on role 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F88A28" w14:textId="68D4339C" w:rsidR="00B97C1F" w:rsidRDefault="00EC158B">
            <w:pPr>
              <w:ind w:left="0" w:right="97"/>
              <w:jc w:val="center"/>
            </w:pPr>
            <w:r>
              <w:rPr>
                <w:b w:val="0"/>
                <w:sz w:val="19"/>
                <w:szCs w:val="19"/>
              </w:rPr>
              <w:t>240</w:t>
            </w:r>
          </w:p>
        </w:tc>
      </w:tr>
      <w:tr w:rsidR="00B97C1F" w14:paraId="5DABBFE0" w14:textId="77777777" w:rsidTr="36BE5D1F">
        <w:trPr>
          <w:trHeight w:val="259"/>
        </w:trPr>
        <w:tc>
          <w:tcPr>
            <w:tcW w:w="3511" w:type="dxa"/>
            <w:gridSpan w:val="2"/>
            <w:tcBorders>
              <w:top w:val="single" w:sz="5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8515EC" w14:textId="77777777" w:rsidR="00B97C1F" w:rsidRDefault="008E77B9">
            <w:pPr>
              <w:ind w:left="1"/>
            </w:pPr>
            <w:r>
              <w:rPr>
                <w:b w:val="0"/>
                <w:sz w:val="19"/>
              </w:rPr>
              <w:t xml:space="preserve">Lump sum 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8A38852" w14:textId="67418811" w:rsidR="00B97C1F" w:rsidRDefault="008E77B9">
            <w:pPr>
              <w:ind w:left="0" w:right="92"/>
              <w:jc w:val="center"/>
            </w:pPr>
            <w:r w:rsidRPr="36BE5D1F">
              <w:rPr>
                <w:b w:val="0"/>
                <w:sz w:val="19"/>
                <w:szCs w:val="19"/>
              </w:rPr>
              <w:t>£</w:t>
            </w:r>
            <w:r w:rsidR="009D6F17">
              <w:rPr>
                <w:b w:val="0"/>
                <w:sz w:val="19"/>
                <w:szCs w:val="19"/>
              </w:rPr>
              <w:t>18,310</w:t>
            </w:r>
          </w:p>
        </w:tc>
      </w:tr>
      <w:tr w:rsidR="00B97C1F" w14:paraId="07227E1E" w14:textId="77777777" w:rsidTr="00F70378">
        <w:trPr>
          <w:trHeight w:val="318"/>
        </w:trPr>
        <w:tc>
          <w:tcPr>
            <w:tcW w:w="8518" w:type="dxa"/>
            <w:gridSpan w:val="3"/>
            <w:tcBorders>
              <w:top w:val="single" w:sz="3" w:space="0" w:color="CCFEFE"/>
              <w:left w:val="single" w:sz="4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CFEFE"/>
          </w:tcPr>
          <w:p w14:paraId="7C48EC00" w14:textId="77777777" w:rsidR="00B97C1F" w:rsidRDefault="008E77B9">
            <w:pPr>
              <w:ind w:left="1"/>
            </w:pPr>
            <w:r>
              <w:rPr>
                <w:b w:val="0"/>
                <w:sz w:val="19"/>
              </w:rPr>
              <w:t xml:space="preserve">Objectives of PSP spending </w:t>
            </w:r>
            <w:r>
              <w:t xml:space="preserve"> </w:t>
            </w:r>
          </w:p>
        </w:tc>
      </w:tr>
      <w:tr w:rsidR="00B97C1F" w14:paraId="4386597E" w14:textId="77777777" w:rsidTr="36BE5D1F">
        <w:trPr>
          <w:trHeight w:val="1475"/>
        </w:trPr>
        <w:tc>
          <w:tcPr>
            <w:tcW w:w="8518" w:type="dxa"/>
            <w:gridSpan w:val="3"/>
            <w:tcBorders>
              <w:top w:val="single" w:sz="5" w:space="0" w:color="000000" w:themeColor="text1"/>
              <w:left w:val="single" w:sz="4" w:space="0" w:color="000000" w:themeColor="text1"/>
              <w:bottom w:val="single" w:sz="3" w:space="0" w:color="CCFEFE"/>
              <w:right w:val="single" w:sz="5" w:space="0" w:color="000000" w:themeColor="text1"/>
            </w:tcBorders>
          </w:tcPr>
          <w:p w14:paraId="3F67E2D1" w14:textId="77777777" w:rsidR="00B97C1F" w:rsidRDefault="008E77B9">
            <w:pPr>
              <w:ind w:left="1"/>
            </w:pPr>
            <w:proofErr w:type="spellStart"/>
            <w:r>
              <w:rPr>
                <w:sz w:val="19"/>
              </w:rPr>
              <w:t>Westende</w:t>
            </w:r>
            <w:proofErr w:type="spellEnd"/>
            <w:r>
              <w:rPr>
                <w:sz w:val="19"/>
              </w:rPr>
              <w:t xml:space="preserve"> Junior School uses the PSP to:</w:t>
            </w:r>
            <w:r>
              <w:rPr>
                <w:b w:val="0"/>
                <w:sz w:val="19"/>
              </w:rPr>
              <w:t xml:space="preserve"> </w:t>
            </w:r>
            <w:r>
              <w:t xml:space="preserve"> </w:t>
            </w:r>
          </w:p>
          <w:p w14:paraId="5FFB7300" w14:textId="0E695F03" w:rsidR="00B97C1F" w:rsidRDefault="009D6F17">
            <w:pPr>
              <w:numPr>
                <w:ilvl w:val="0"/>
                <w:numId w:val="1"/>
              </w:numPr>
              <w:ind w:hanging="362"/>
            </w:pPr>
            <w:r>
              <w:rPr>
                <w:b w:val="0"/>
                <w:sz w:val="19"/>
                <w:szCs w:val="19"/>
              </w:rPr>
              <w:t>Provide additional TA support in PE lessons</w:t>
            </w:r>
          </w:p>
          <w:p w14:paraId="28030B82" w14:textId="47A3BFF6" w:rsidR="00B97C1F" w:rsidRDefault="009D6F17">
            <w:pPr>
              <w:numPr>
                <w:ilvl w:val="0"/>
                <w:numId w:val="1"/>
              </w:numPr>
              <w:ind w:hanging="362"/>
            </w:pPr>
            <w:r>
              <w:rPr>
                <w:b w:val="0"/>
                <w:sz w:val="19"/>
                <w:szCs w:val="19"/>
              </w:rPr>
              <w:t>Provide a wide range of extra-curricular clubs</w:t>
            </w:r>
            <w:r w:rsidR="008E77B9">
              <w:t xml:space="preserve"> </w:t>
            </w:r>
          </w:p>
          <w:p w14:paraId="16E32341" w14:textId="77777777" w:rsidR="00B97C1F" w:rsidRPr="009D6F17" w:rsidRDefault="009D6F17" w:rsidP="00725515">
            <w:pPr>
              <w:numPr>
                <w:ilvl w:val="0"/>
                <w:numId w:val="1"/>
              </w:numPr>
              <w:spacing w:after="10"/>
              <w:ind w:hanging="362"/>
            </w:pPr>
            <w:r>
              <w:rPr>
                <w:b w:val="0"/>
                <w:sz w:val="19"/>
              </w:rPr>
              <w:t>Enhance the provision of playground activities for playtimes and lunchtimes</w:t>
            </w:r>
          </w:p>
          <w:p w14:paraId="29381640" w14:textId="77777777" w:rsidR="009D6F17" w:rsidRPr="009D6F17" w:rsidRDefault="009D6F17" w:rsidP="00725515">
            <w:pPr>
              <w:numPr>
                <w:ilvl w:val="0"/>
                <w:numId w:val="1"/>
              </w:numPr>
              <w:spacing w:after="10"/>
              <w:ind w:hanging="362"/>
            </w:pPr>
            <w:r>
              <w:rPr>
                <w:b w:val="0"/>
                <w:sz w:val="19"/>
              </w:rPr>
              <w:t>To provide all pupils the opportunity to take part in competitive sporting opportunities</w:t>
            </w:r>
          </w:p>
          <w:p w14:paraId="6A0C2004" w14:textId="6AF8429D" w:rsidR="009D6F17" w:rsidRDefault="009D6F17" w:rsidP="00725515">
            <w:pPr>
              <w:numPr>
                <w:ilvl w:val="0"/>
                <w:numId w:val="1"/>
              </w:numPr>
              <w:spacing w:after="10"/>
              <w:ind w:hanging="362"/>
            </w:pPr>
            <w:r>
              <w:rPr>
                <w:b w:val="0"/>
                <w:sz w:val="19"/>
              </w:rPr>
              <w:t xml:space="preserve">To enhance the teaching of PE </w:t>
            </w:r>
          </w:p>
        </w:tc>
      </w:tr>
      <w:tr w:rsidR="00B97C1F" w14:paraId="12DC9965" w14:textId="77777777" w:rsidTr="36BE5D1F">
        <w:trPr>
          <w:trHeight w:val="246"/>
        </w:trPr>
        <w:tc>
          <w:tcPr>
            <w:tcW w:w="8518" w:type="dxa"/>
            <w:gridSpan w:val="3"/>
            <w:tcBorders>
              <w:top w:val="single" w:sz="3" w:space="0" w:color="CCFEFE"/>
              <w:left w:val="single" w:sz="4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CFEFE"/>
          </w:tcPr>
          <w:p w14:paraId="207CE306" w14:textId="1215D22A" w:rsidR="00B97C1F" w:rsidRDefault="008E77B9">
            <w:pPr>
              <w:ind w:left="1"/>
            </w:pPr>
            <w:r>
              <w:rPr>
                <w:b w:val="0"/>
                <w:sz w:val="19"/>
              </w:rPr>
              <w:t>Record of P</w:t>
            </w:r>
            <w:r w:rsidR="000900F3">
              <w:rPr>
                <w:b w:val="0"/>
                <w:sz w:val="19"/>
              </w:rPr>
              <w:t>SP spending by item/project 2020-2021</w:t>
            </w:r>
          </w:p>
        </w:tc>
      </w:tr>
      <w:tr w:rsidR="00B97C1F" w14:paraId="4B27914C" w14:textId="77777777" w:rsidTr="36BE5D1F">
        <w:trPr>
          <w:trHeight w:val="498"/>
        </w:trPr>
        <w:tc>
          <w:tcPr>
            <w:tcW w:w="2095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232746" w14:textId="77777777" w:rsidR="00B97C1F" w:rsidRDefault="008E77B9">
            <w:pPr>
              <w:ind w:left="0" w:right="100"/>
              <w:jc w:val="center"/>
            </w:pPr>
            <w:r>
              <w:rPr>
                <w:b w:val="0"/>
                <w:i/>
                <w:sz w:val="19"/>
              </w:rPr>
              <w:t>Item/Project</w:t>
            </w:r>
            <w:r>
              <w:rPr>
                <w:b w:val="0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6742E7" w14:textId="77777777" w:rsidR="00B97C1F" w:rsidRDefault="008E77B9">
            <w:pPr>
              <w:ind w:left="0"/>
              <w:jc w:val="center"/>
            </w:pPr>
            <w:r>
              <w:rPr>
                <w:b w:val="0"/>
                <w:i/>
                <w:sz w:val="19"/>
              </w:rPr>
              <w:t>Approximate</w:t>
            </w:r>
            <w:r>
              <w:rPr>
                <w:b w:val="0"/>
                <w:sz w:val="19"/>
              </w:rPr>
              <w:t xml:space="preserve"> </w:t>
            </w:r>
            <w:r>
              <w:rPr>
                <w:b w:val="0"/>
                <w:i/>
                <w:sz w:val="19"/>
              </w:rPr>
              <w:t>£% allocated</w:t>
            </w:r>
            <w:r>
              <w:rPr>
                <w:b w:val="0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0B4112" w14:textId="77777777" w:rsidR="00B97C1F" w:rsidRDefault="008E77B9">
            <w:pPr>
              <w:ind w:left="0" w:right="102"/>
              <w:jc w:val="center"/>
            </w:pPr>
            <w:r>
              <w:rPr>
                <w:b w:val="0"/>
                <w:i/>
                <w:sz w:val="19"/>
              </w:rPr>
              <w:t>Objectives/Outcomes</w:t>
            </w:r>
            <w:r>
              <w:rPr>
                <w:b w:val="0"/>
                <w:sz w:val="19"/>
              </w:rPr>
              <w:t xml:space="preserve"> </w:t>
            </w:r>
            <w:r>
              <w:t xml:space="preserve"> </w:t>
            </w:r>
          </w:p>
        </w:tc>
      </w:tr>
      <w:tr w:rsidR="00B97C1F" w14:paraId="58577962" w14:textId="77777777" w:rsidTr="36BE5D1F">
        <w:trPr>
          <w:trHeight w:val="967"/>
        </w:trPr>
        <w:tc>
          <w:tcPr>
            <w:tcW w:w="2095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6FD2AF" w14:textId="1D511620" w:rsidR="00B97C1F" w:rsidRDefault="000900F3">
            <w:pPr>
              <w:ind w:left="1"/>
            </w:pPr>
            <w:r>
              <w:rPr>
                <w:b w:val="0"/>
                <w:sz w:val="17"/>
              </w:rPr>
              <w:t>Swimming Training</w:t>
            </w:r>
            <w:r w:rsidR="008E77B9">
              <w:rPr>
                <w:b w:val="0"/>
                <w:sz w:val="17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EDEBCC" w14:textId="66447BE7" w:rsidR="00B97C1F" w:rsidRDefault="009D6F17">
            <w:pPr>
              <w:ind w:left="0" w:right="54"/>
              <w:jc w:val="center"/>
            </w:pPr>
            <w:r>
              <w:rPr>
                <w:b w:val="0"/>
                <w:sz w:val="17"/>
              </w:rPr>
              <w:t>4</w:t>
            </w:r>
            <w:r w:rsidR="008E77B9">
              <w:rPr>
                <w:b w:val="0"/>
                <w:sz w:val="17"/>
              </w:rPr>
              <w:t xml:space="preserve">% </w:t>
            </w:r>
          </w:p>
          <w:p w14:paraId="0A6959E7" w14:textId="77777777" w:rsidR="00B97C1F" w:rsidRDefault="008E77B9">
            <w:pPr>
              <w:ind w:left="0" w:right="7"/>
              <w:jc w:val="center"/>
            </w:pPr>
            <w:r>
              <w:rPr>
                <w:b w:val="0"/>
                <w:sz w:val="17"/>
              </w:rP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DFACB6" w14:textId="5131DCED" w:rsidR="00B97C1F" w:rsidRDefault="00621183" w:rsidP="009D6F17">
            <w:pPr>
              <w:ind w:left="0" w:right="531"/>
              <w:jc w:val="both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PE funding </w:t>
            </w:r>
            <w:r w:rsidR="009D6F17">
              <w:rPr>
                <w:b w:val="0"/>
                <w:sz w:val="17"/>
              </w:rPr>
              <w:t>will be used</w:t>
            </w:r>
            <w:r w:rsidR="008E77B9">
              <w:rPr>
                <w:b w:val="0"/>
                <w:sz w:val="17"/>
              </w:rPr>
              <w:t xml:space="preserve"> pay </w:t>
            </w:r>
            <w:r>
              <w:rPr>
                <w:b w:val="0"/>
                <w:sz w:val="17"/>
              </w:rPr>
              <w:t>for 12 members of staff to attend the STA Safety Award Tr</w:t>
            </w:r>
            <w:r w:rsidR="009D6F17">
              <w:rPr>
                <w:b w:val="0"/>
                <w:sz w:val="17"/>
              </w:rPr>
              <w:t xml:space="preserve">aining for Teachers. This means </w:t>
            </w:r>
            <w:r w:rsidR="00DA199A">
              <w:rPr>
                <w:b w:val="0"/>
                <w:sz w:val="17"/>
              </w:rPr>
              <w:t>that the school can</w:t>
            </w:r>
            <w:r>
              <w:rPr>
                <w:b w:val="0"/>
                <w:sz w:val="17"/>
              </w:rPr>
              <w:t xml:space="preserve"> deliver high quality swimming lessons to each year group </w:t>
            </w:r>
            <w:r w:rsidR="009D6F17">
              <w:rPr>
                <w:b w:val="0"/>
                <w:sz w:val="17"/>
              </w:rPr>
              <w:t>twice a week</w:t>
            </w:r>
          </w:p>
          <w:p w14:paraId="1CE361DA" w14:textId="06F16E2E" w:rsidR="00EC158B" w:rsidRDefault="00EC158B" w:rsidP="009D6F17">
            <w:pPr>
              <w:ind w:left="0" w:right="531"/>
              <w:jc w:val="both"/>
            </w:pPr>
            <w:r w:rsidRPr="00EC158B">
              <w:rPr>
                <w:b w:val="0"/>
                <w:sz w:val="17"/>
                <w:szCs w:val="17"/>
              </w:rPr>
              <w:t>In the summer term, additional swimming lessons will be offered to all non- swimmers (with PPG children taking a priority)</w:t>
            </w:r>
          </w:p>
        </w:tc>
      </w:tr>
      <w:tr w:rsidR="00B97C1F" w14:paraId="1794372E" w14:textId="77777777" w:rsidTr="00A82461">
        <w:trPr>
          <w:trHeight w:val="793"/>
        </w:trPr>
        <w:tc>
          <w:tcPr>
            <w:tcW w:w="2095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996BD3" w14:textId="420D7C4C" w:rsidR="00B97C1F" w:rsidRDefault="009D6F17">
            <w:pPr>
              <w:ind w:left="1"/>
            </w:pPr>
            <w:r>
              <w:rPr>
                <w:b w:val="0"/>
                <w:sz w:val="17"/>
              </w:rPr>
              <w:t>Playground enrichment</w:t>
            </w:r>
            <w:r w:rsidR="008E77B9">
              <w:rPr>
                <w:b w:val="0"/>
                <w:sz w:val="17"/>
              </w:rPr>
              <w:t xml:space="preserve"> </w:t>
            </w:r>
            <w:r w:rsidR="008E77B9"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1CCCA8" w14:textId="428B4A42" w:rsidR="00B97C1F" w:rsidRDefault="00621183">
            <w:pPr>
              <w:ind w:left="0" w:right="90"/>
              <w:jc w:val="center"/>
            </w:pPr>
            <w:r>
              <w:rPr>
                <w:b w:val="0"/>
                <w:sz w:val="17"/>
                <w:szCs w:val="17"/>
              </w:rPr>
              <w:t>3</w:t>
            </w:r>
            <w:r w:rsidR="008E77B9" w:rsidRPr="36BE5D1F">
              <w:rPr>
                <w:b w:val="0"/>
                <w:sz w:val="17"/>
                <w:szCs w:val="17"/>
              </w:rPr>
              <w:t xml:space="preserve">%  </w:t>
            </w:r>
          </w:p>
          <w:p w14:paraId="100C5B58" w14:textId="77777777" w:rsidR="00B97C1F" w:rsidRDefault="008E77B9">
            <w:pPr>
              <w:spacing w:after="86"/>
              <w:ind w:left="0" w:right="45"/>
              <w:jc w:val="center"/>
            </w:pPr>
            <w:r>
              <w:rPr>
                <w:b w:val="0"/>
                <w:sz w:val="17"/>
              </w:rPr>
              <w:t xml:space="preserve"> </w:t>
            </w:r>
          </w:p>
          <w:p w14:paraId="12F40E89" w14:textId="77777777" w:rsidR="00B97C1F" w:rsidRDefault="008E77B9">
            <w:pPr>
              <w:ind w:left="0" w:right="14"/>
              <w:jc w:val="center"/>
            </w:pP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635173" w14:textId="77777777" w:rsidR="000900F3" w:rsidRDefault="00271DB8" w:rsidP="00271DB8">
            <w:pPr>
              <w:spacing w:line="259" w:lineRule="auto"/>
              <w:ind w:left="0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We aim to provide a range of playground activities to keep the children active and moving during break and lunch times. All children participated in a skipping workshop, and the school purchased skipping ropes for use at break </w:t>
            </w:r>
            <w:proofErr w:type="gramStart"/>
            <w:r>
              <w:rPr>
                <w:b w:val="0"/>
                <w:sz w:val="17"/>
                <w:szCs w:val="17"/>
              </w:rPr>
              <w:t>an</w:t>
            </w:r>
            <w:proofErr w:type="gramEnd"/>
            <w:r>
              <w:rPr>
                <w:b w:val="0"/>
                <w:sz w:val="17"/>
                <w:szCs w:val="17"/>
              </w:rPr>
              <w:t xml:space="preserve"> lunch</w:t>
            </w:r>
          </w:p>
          <w:p w14:paraId="5EC38DF0" w14:textId="206D25A7" w:rsidR="00271DB8" w:rsidRPr="00725515" w:rsidRDefault="00271DB8" w:rsidP="00271DB8">
            <w:pPr>
              <w:spacing w:line="259" w:lineRule="auto"/>
              <w:ind w:left="0"/>
              <w:rPr>
                <w:rFonts w:asciiTheme="minorHAnsi" w:eastAsiaTheme="minorEastAsia" w:hAnsiTheme="minorHAnsi" w:cstheme="minorBidi"/>
                <w:bCs/>
                <w:color w:val="000000" w:themeColor="text1"/>
                <w:szCs w:val="28"/>
              </w:rPr>
            </w:pPr>
            <w:r>
              <w:rPr>
                <w:b w:val="0"/>
                <w:sz w:val="17"/>
                <w:szCs w:val="17"/>
              </w:rPr>
              <w:t xml:space="preserve">In addition, the school purchased tennis balls, footballs, ping pong balls and table tennis bats for all children to use. </w:t>
            </w:r>
          </w:p>
        </w:tc>
      </w:tr>
      <w:tr w:rsidR="00B97C1F" w14:paraId="0614D4E5" w14:textId="77777777" w:rsidTr="36BE5D1F">
        <w:trPr>
          <w:trHeight w:val="1012"/>
        </w:trPr>
        <w:tc>
          <w:tcPr>
            <w:tcW w:w="2095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3" w:space="0" w:color="CCFEFE"/>
              <w:right w:val="single" w:sz="5" w:space="0" w:color="000000" w:themeColor="text1"/>
            </w:tcBorders>
          </w:tcPr>
          <w:p w14:paraId="5D5FB899" w14:textId="632BAC5C" w:rsidR="00B97C1F" w:rsidRDefault="00540088" w:rsidP="00271DB8">
            <w:pPr>
              <w:ind w:left="1"/>
            </w:pPr>
            <w:r>
              <w:rPr>
                <w:b w:val="0"/>
                <w:sz w:val="17"/>
              </w:rPr>
              <w:t xml:space="preserve">PE </w:t>
            </w:r>
            <w:r w:rsidR="00271DB8">
              <w:rPr>
                <w:b w:val="0"/>
                <w:sz w:val="17"/>
              </w:rPr>
              <w:t>TA</w:t>
            </w:r>
          </w:p>
        </w:tc>
        <w:tc>
          <w:tcPr>
            <w:tcW w:w="14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3" w:space="0" w:color="CCFEFE"/>
              <w:right w:val="single" w:sz="5" w:space="0" w:color="000000" w:themeColor="text1"/>
            </w:tcBorders>
          </w:tcPr>
          <w:p w14:paraId="50313C80" w14:textId="7684667F" w:rsidR="00B97C1F" w:rsidRDefault="00725515">
            <w:pPr>
              <w:ind w:left="0" w:right="95"/>
              <w:jc w:val="center"/>
            </w:pPr>
            <w:r>
              <w:rPr>
                <w:b w:val="0"/>
                <w:sz w:val="17"/>
              </w:rPr>
              <w:t>9</w:t>
            </w:r>
            <w:r w:rsidR="00E321F7">
              <w:rPr>
                <w:b w:val="0"/>
                <w:sz w:val="17"/>
              </w:rPr>
              <w:t>2</w:t>
            </w:r>
            <w:r w:rsidR="008E77B9">
              <w:rPr>
                <w:b w:val="0"/>
                <w:sz w:val="17"/>
              </w:rPr>
              <w:t xml:space="preserve">% </w:t>
            </w:r>
          </w:p>
          <w:p w14:paraId="156A6281" w14:textId="77777777" w:rsidR="00B97C1F" w:rsidRDefault="008E77B9">
            <w:pPr>
              <w:ind w:left="0" w:right="45"/>
              <w:jc w:val="center"/>
            </w:pPr>
            <w:r>
              <w:rPr>
                <w:b w:val="0"/>
                <w:sz w:val="17"/>
              </w:rPr>
              <w:t xml:space="preserve"> </w:t>
            </w:r>
          </w:p>
          <w:p w14:paraId="20876B09" w14:textId="77777777" w:rsidR="00B97C1F" w:rsidRDefault="008E77B9">
            <w:pPr>
              <w:ind w:left="0" w:right="45"/>
              <w:jc w:val="center"/>
            </w:pPr>
            <w:r>
              <w:rPr>
                <w:b w:val="0"/>
                <w:sz w:val="17"/>
              </w:rP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3" w:space="0" w:color="CCFEFE"/>
              <w:right w:val="single" w:sz="5" w:space="0" w:color="000000" w:themeColor="text1"/>
            </w:tcBorders>
          </w:tcPr>
          <w:p w14:paraId="3A0F3603" w14:textId="3EFF2149" w:rsidR="00725515" w:rsidRDefault="00271DB8" w:rsidP="00271DB8">
            <w:pPr>
              <w:ind w:left="0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A special</w:t>
            </w:r>
            <w:r w:rsidR="00EC158B">
              <w:rPr>
                <w:b w:val="0"/>
                <w:sz w:val="17"/>
                <w:szCs w:val="17"/>
              </w:rPr>
              <w:t xml:space="preserve">ist TA joined to </w:t>
            </w:r>
            <w:proofErr w:type="spellStart"/>
            <w:r w:rsidR="00EC158B">
              <w:rPr>
                <w:b w:val="0"/>
                <w:sz w:val="17"/>
                <w:szCs w:val="17"/>
              </w:rPr>
              <w:t>Westende</w:t>
            </w:r>
            <w:proofErr w:type="spellEnd"/>
            <w:r w:rsidR="00EC158B">
              <w:rPr>
                <w:b w:val="0"/>
                <w:sz w:val="17"/>
                <w:szCs w:val="17"/>
              </w:rPr>
              <w:t xml:space="preserve"> team. First and foremost, h</w:t>
            </w:r>
            <w:r>
              <w:rPr>
                <w:b w:val="0"/>
                <w:sz w:val="17"/>
                <w:szCs w:val="17"/>
              </w:rPr>
              <w:t>e provides additional support in all PE lessons</w:t>
            </w:r>
            <w:bookmarkStart w:id="0" w:name="_GoBack"/>
            <w:bookmarkEnd w:id="0"/>
          </w:p>
          <w:p w14:paraId="4A254948" w14:textId="6AF5DDCF" w:rsidR="00EC158B" w:rsidRDefault="00EC158B" w:rsidP="00271DB8">
            <w:pPr>
              <w:ind w:left="0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The TA oversees the extra-curricular provision ensuring that a wide variety of clubs are offered. These include: football, netball, tag rugby, running, lacrosse and multi-sports. </w:t>
            </w:r>
          </w:p>
          <w:p w14:paraId="754B33F3" w14:textId="17BAC8F8" w:rsidR="00EC158B" w:rsidRDefault="00EC158B" w:rsidP="00271DB8">
            <w:pPr>
              <w:ind w:left="0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Competitive sporting opportunities</w:t>
            </w:r>
            <w:r w:rsidR="00981E9A">
              <w:rPr>
                <w:b w:val="0"/>
                <w:sz w:val="17"/>
                <w:szCs w:val="17"/>
              </w:rPr>
              <w:t xml:space="preserve"> are offered to all pupils. Acr</w:t>
            </w:r>
            <w:r>
              <w:rPr>
                <w:b w:val="0"/>
                <w:sz w:val="17"/>
                <w:szCs w:val="17"/>
              </w:rPr>
              <w:t>oss the year, children will participate in inter-school competition</w:t>
            </w:r>
            <w:r w:rsidR="00981E9A">
              <w:rPr>
                <w:b w:val="0"/>
                <w:sz w:val="17"/>
                <w:szCs w:val="17"/>
              </w:rPr>
              <w:t>s in</w:t>
            </w:r>
            <w:r w:rsidR="00E321F7">
              <w:rPr>
                <w:b w:val="0"/>
                <w:sz w:val="17"/>
                <w:szCs w:val="17"/>
              </w:rPr>
              <w:t xml:space="preserve"> variety of sports such as </w:t>
            </w:r>
            <w:r w:rsidR="00981E9A">
              <w:rPr>
                <w:b w:val="0"/>
                <w:sz w:val="17"/>
                <w:szCs w:val="17"/>
              </w:rPr>
              <w:t xml:space="preserve">football, netball, gymnastics, </w:t>
            </w:r>
            <w:proofErr w:type="spellStart"/>
            <w:r w:rsidR="00981E9A">
              <w:rPr>
                <w:b w:val="0"/>
                <w:sz w:val="17"/>
                <w:szCs w:val="17"/>
              </w:rPr>
              <w:t>boccia</w:t>
            </w:r>
            <w:proofErr w:type="spellEnd"/>
            <w:r w:rsidR="00981E9A">
              <w:rPr>
                <w:b w:val="0"/>
                <w:sz w:val="17"/>
                <w:szCs w:val="17"/>
              </w:rPr>
              <w:t xml:space="preserve"> and running. In addition, every children takes part in inter- house competitions in school in cross country, football, netball, football, swimming, </w:t>
            </w:r>
            <w:proofErr w:type="spellStart"/>
            <w:r w:rsidR="00981E9A">
              <w:rPr>
                <w:b w:val="0"/>
                <w:sz w:val="17"/>
                <w:szCs w:val="17"/>
              </w:rPr>
              <w:t>rounders</w:t>
            </w:r>
            <w:proofErr w:type="spellEnd"/>
            <w:r w:rsidR="00981E9A">
              <w:rPr>
                <w:b w:val="0"/>
                <w:sz w:val="17"/>
                <w:szCs w:val="17"/>
              </w:rPr>
              <w:t xml:space="preserve">, and sports day.  </w:t>
            </w:r>
          </w:p>
          <w:p w14:paraId="3DA1F02C" w14:textId="08878C19" w:rsidR="00EC158B" w:rsidRDefault="00EC158B" w:rsidP="00271DB8">
            <w:pPr>
              <w:ind w:left="0"/>
              <w:rPr>
                <w:b w:val="0"/>
                <w:sz w:val="17"/>
                <w:szCs w:val="17"/>
              </w:rPr>
            </w:pPr>
          </w:p>
          <w:p w14:paraId="396359E5" w14:textId="406BB95E" w:rsidR="00725515" w:rsidRPr="00EC158B" w:rsidRDefault="00725515" w:rsidP="00EC158B">
            <w:pPr>
              <w:ind w:left="0"/>
              <w:rPr>
                <w:b w:val="0"/>
                <w:sz w:val="20"/>
                <w:szCs w:val="20"/>
              </w:rPr>
            </w:pPr>
          </w:p>
        </w:tc>
      </w:tr>
      <w:tr w:rsidR="00981E9A" w14:paraId="58C3182F" w14:textId="77777777" w:rsidTr="36BE5D1F">
        <w:trPr>
          <w:trHeight w:val="1012"/>
        </w:trPr>
        <w:tc>
          <w:tcPr>
            <w:tcW w:w="2095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3" w:space="0" w:color="CCFEFE"/>
              <w:right w:val="single" w:sz="5" w:space="0" w:color="000000" w:themeColor="text1"/>
            </w:tcBorders>
          </w:tcPr>
          <w:p w14:paraId="11FAF617" w14:textId="7B39478C" w:rsidR="00981E9A" w:rsidRDefault="00E321F7" w:rsidP="00271DB8">
            <w:pPr>
              <w:ind w:left="1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Dance scheme of work</w:t>
            </w:r>
          </w:p>
        </w:tc>
        <w:tc>
          <w:tcPr>
            <w:tcW w:w="14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3" w:space="0" w:color="CCFEFE"/>
              <w:right w:val="single" w:sz="5" w:space="0" w:color="000000" w:themeColor="text1"/>
            </w:tcBorders>
          </w:tcPr>
          <w:p w14:paraId="63BF99B5" w14:textId="01EAFE23" w:rsidR="00981E9A" w:rsidRDefault="00E321F7">
            <w:pPr>
              <w:ind w:left="0" w:right="95"/>
              <w:jc w:val="center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1%</w:t>
            </w:r>
          </w:p>
        </w:tc>
        <w:tc>
          <w:tcPr>
            <w:tcW w:w="50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3" w:space="0" w:color="CCFEFE"/>
              <w:right w:val="single" w:sz="5" w:space="0" w:color="000000" w:themeColor="text1"/>
            </w:tcBorders>
          </w:tcPr>
          <w:p w14:paraId="51C53FAF" w14:textId="77777777" w:rsidR="00981E9A" w:rsidRDefault="00E321F7" w:rsidP="00271DB8">
            <w:pPr>
              <w:ind w:left="0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Investment into the Val Sabin scheme of work for dance will ensure continuity and progression in the dance curriculum. </w:t>
            </w:r>
          </w:p>
          <w:p w14:paraId="1C8FEF01" w14:textId="77777777" w:rsidR="00E321F7" w:rsidRDefault="00E321F7" w:rsidP="00271DB8">
            <w:pPr>
              <w:ind w:left="0"/>
              <w:rPr>
                <w:b w:val="0"/>
                <w:sz w:val="17"/>
                <w:szCs w:val="17"/>
              </w:rPr>
            </w:pPr>
          </w:p>
          <w:p w14:paraId="4878AE4A" w14:textId="17290ACC" w:rsidR="00E321F7" w:rsidRDefault="00E321F7" w:rsidP="00271DB8">
            <w:pPr>
              <w:ind w:left="0"/>
              <w:rPr>
                <w:b w:val="0"/>
                <w:sz w:val="17"/>
                <w:szCs w:val="17"/>
              </w:rPr>
            </w:pPr>
          </w:p>
        </w:tc>
      </w:tr>
      <w:tr w:rsidR="00B97C1F" w14:paraId="6D80BD69" w14:textId="77777777" w:rsidTr="36BE5D1F">
        <w:trPr>
          <w:trHeight w:val="241"/>
        </w:trPr>
        <w:tc>
          <w:tcPr>
            <w:tcW w:w="8518" w:type="dxa"/>
            <w:gridSpan w:val="3"/>
            <w:tcBorders>
              <w:top w:val="single" w:sz="3" w:space="0" w:color="CCFEFE"/>
              <w:left w:val="single" w:sz="4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CFEFE"/>
          </w:tcPr>
          <w:p w14:paraId="24369ADD" w14:textId="77777777" w:rsidR="00B97C1F" w:rsidRDefault="008E77B9">
            <w:pPr>
              <w:ind w:left="1"/>
            </w:pPr>
            <w:r>
              <w:rPr>
                <w:b w:val="0"/>
                <w:sz w:val="19"/>
              </w:rPr>
              <w:t xml:space="preserve">Summary </w:t>
            </w:r>
            <w:r>
              <w:t xml:space="preserve"> </w:t>
            </w:r>
          </w:p>
        </w:tc>
      </w:tr>
      <w:tr w:rsidR="00B97C1F" w14:paraId="55488754" w14:textId="77777777" w:rsidTr="36BE5D1F">
        <w:trPr>
          <w:trHeight w:val="244"/>
        </w:trPr>
        <w:tc>
          <w:tcPr>
            <w:tcW w:w="3511" w:type="dxa"/>
            <w:gridSpan w:val="2"/>
            <w:tcBorders>
              <w:top w:val="single" w:sz="5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B08A41" w14:textId="77777777" w:rsidR="00B97C1F" w:rsidRDefault="008E77B9">
            <w:pPr>
              <w:ind w:left="1"/>
            </w:pPr>
            <w:r>
              <w:rPr>
                <w:b w:val="0"/>
                <w:sz w:val="17"/>
              </w:rPr>
              <w:t xml:space="preserve">Total PSP expenditure 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258927" w14:textId="3C2A0545" w:rsidR="00B97C1F" w:rsidRDefault="008E77B9">
            <w:pPr>
              <w:ind w:left="0" w:right="96"/>
              <w:jc w:val="center"/>
            </w:pPr>
            <w:r w:rsidRPr="36BE5D1F">
              <w:rPr>
                <w:b w:val="0"/>
                <w:sz w:val="17"/>
                <w:szCs w:val="17"/>
              </w:rPr>
              <w:t>£</w:t>
            </w:r>
            <w:r w:rsidR="00725515">
              <w:rPr>
                <w:b w:val="0"/>
                <w:sz w:val="17"/>
                <w:szCs w:val="17"/>
              </w:rPr>
              <w:t>18,380</w:t>
            </w:r>
          </w:p>
        </w:tc>
      </w:tr>
      <w:tr w:rsidR="00B97C1F" w14:paraId="368C2C36" w14:textId="77777777" w:rsidTr="36BE5D1F">
        <w:trPr>
          <w:trHeight w:val="238"/>
        </w:trPr>
        <w:tc>
          <w:tcPr>
            <w:tcW w:w="3511" w:type="dxa"/>
            <w:gridSpan w:val="2"/>
            <w:tcBorders>
              <w:top w:val="single" w:sz="5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269102" w14:textId="77777777" w:rsidR="00B97C1F" w:rsidRDefault="008E77B9">
            <w:pPr>
              <w:ind w:left="1"/>
            </w:pPr>
            <w:r>
              <w:rPr>
                <w:b w:val="0"/>
                <w:sz w:val="17"/>
              </w:rPr>
              <w:t xml:space="preserve">PSP remaining unallocated 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681BBB" w14:textId="77777777" w:rsidR="00B97C1F" w:rsidRDefault="008E77B9">
            <w:pPr>
              <w:ind w:left="0" w:right="86"/>
              <w:jc w:val="center"/>
            </w:pPr>
            <w:r>
              <w:rPr>
                <w:b w:val="0"/>
                <w:sz w:val="17"/>
              </w:rPr>
              <w:t xml:space="preserve">£0 </w:t>
            </w:r>
            <w:r>
              <w:t xml:space="preserve"> </w:t>
            </w:r>
          </w:p>
        </w:tc>
      </w:tr>
      <w:tr w:rsidR="00B97C1F" w14:paraId="15EF7D73" w14:textId="77777777" w:rsidTr="36BE5D1F">
        <w:trPr>
          <w:trHeight w:val="240"/>
        </w:trPr>
        <w:tc>
          <w:tcPr>
            <w:tcW w:w="3511" w:type="dxa"/>
            <w:gridSpan w:val="2"/>
            <w:tcBorders>
              <w:top w:val="single" w:sz="5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F8A373" w14:textId="77777777" w:rsidR="00B97C1F" w:rsidRDefault="008E77B9">
            <w:pPr>
              <w:ind w:left="1"/>
            </w:pPr>
            <w:r>
              <w:rPr>
                <w:b w:val="0"/>
                <w:sz w:val="17"/>
              </w:rPr>
              <w:t xml:space="preserve">PSP remaining 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CA0A0A" w14:textId="6C816E67" w:rsidR="00B97C1F" w:rsidRDefault="00A82461">
            <w:pPr>
              <w:ind w:left="0" w:right="94"/>
              <w:jc w:val="center"/>
            </w:pPr>
            <w:r>
              <w:rPr>
                <w:b w:val="0"/>
                <w:sz w:val="17"/>
              </w:rPr>
              <w:t>£0</w:t>
            </w:r>
            <w:r w:rsidR="008E77B9">
              <w:t xml:space="preserve"> </w:t>
            </w:r>
          </w:p>
        </w:tc>
      </w:tr>
    </w:tbl>
    <w:p w14:paraId="7A6924B7" w14:textId="77777777" w:rsidR="00B97C1F" w:rsidRDefault="008E77B9">
      <w:pPr>
        <w:spacing w:after="9484"/>
        <w:ind w:left="-1685" w:right="169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FD305A" wp14:editId="07777777">
            <wp:simplePos x="0" y="0"/>
            <wp:positionH relativeFrom="page">
              <wp:posOffset>5987796</wp:posOffset>
            </wp:positionH>
            <wp:positionV relativeFrom="page">
              <wp:posOffset>82295</wp:posOffset>
            </wp:positionV>
            <wp:extent cx="1505712" cy="771144"/>
            <wp:effectExtent l="0" t="0" r="0" b="0"/>
            <wp:wrapTopAndBottom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AE634" w14:textId="77777777" w:rsidR="00B97C1F" w:rsidRDefault="008E77B9">
      <w:pPr>
        <w:ind w:left="0"/>
      </w:pPr>
      <w:r>
        <w:rPr>
          <w:rFonts w:ascii="Times New Roman" w:eastAsia="Times New Roman" w:hAnsi="Times New Roman" w:cs="Times New Roman"/>
          <w:b w:val="0"/>
          <w:sz w:val="20"/>
        </w:rPr>
        <w:lastRenderedPageBreak/>
        <w:t xml:space="preserve"> </w:t>
      </w:r>
      <w:r>
        <w:t xml:space="preserve"> </w:t>
      </w:r>
    </w:p>
    <w:sectPr w:rsidR="00B97C1F">
      <w:pgSz w:w="11899" w:h="16841"/>
      <w:pgMar w:top="1440" w:right="0" w:bottom="1440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12C25"/>
    <w:multiLevelType w:val="hybridMultilevel"/>
    <w:tmpl w:val="DCD2E8BA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72920FDA"/>
    <w:multiLevelType w:val="hybridMultilevel"/>
    <w:tmpl w:val="852694B4"/>
    <w:lvl w:ilvl="0" w:tplc="7872154C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130D224">
      <w:start w:val="1"/>
      <w:numFmt w:val="bullet"/>
      <w:lvlText w:val="o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CC603C2">
      <w:start w:val="1"/>
      <w:numFmt w:val="bullet"/>
      <w:lvlText w:val="▪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BAEFA1A">
      <w:start w:val="1"/>
      <w:numFmt w:val="bullet"/>
      <w:lvlText w:val="•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3BC7940">
      <w:start w:val="1"/>
      <w:numFmt w:val="bullet"/>
      <w:lvlText w:val="o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EC2849E">
      <w:start w:val="1"/>
      <w:numFmt w:val="bullet"/>
      <w:lvlText w:val="▪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F900496">
      <w:start w:val="1"/>
      <w:numFmt w:val="bullet"/>
      <w:lvlText w:val="•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9545DEA">
      <w:start w:val="1"/>
      <w:numFmt w:val="bullet"/>
      <w:lvlText w:val="o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6267DC4">
      <w:start w:val="1"/>
      <w:numFmt w:val="bullet"/>
      <w:lvlText w:val="▪"/>
      <w:lvlJc w:val="left"/>
      <w:pPr>
        <w:ind w:left="6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035157"/>
    <w:multiLevelType w:val="hybridMultilevel"/>
    <w:tmpl w:val="66E25FD2"/>
    <w:lvl w:ilvl="0" w:tplc="986E499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75E0E1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52E7EA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89271A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28C50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F6BFE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70A280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0B8717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1C615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1F"/>
    <w:rsid w:val="000900F3"/>
    <w:rsid w:val="00271DB8"/>
    <w:rsid w:val="00540088"/>
    <w:rsid w:val="00621183"/>
    <w:rsid w:val="00725515"/>
    <w:rsid w:val="008519E2"/>
    <w:rsid w:val="008E77B9"/>
    <w:rsid w:val="00981E9A"/>
    <w:rsid w:val="009D6F17"/>
    <w:rsid w:val="00A82461"/>
    <w:rsid w:val="00B97C1F"/>
    <w:rsid w:val="00BE370B"/>
    <w:rsid w:val="00C4020A"/>
    <w:rsid w:val="00DA199A"/>
    <w:rsid w:val="00E321F7"/>
    <w:rsid w:val="00EC158B"/>
    <w:rsid w:val="00F70378"/>
    <w:rsid w:val="08144484"/>
    <w:rsid w:val="0A7B5318"/>
    <w:rsid w:val="1DCAAADE"/>
    <w:rsid w:val="1F247D68"/>
    <w:rsid w:val="2652B897"/>
    <w:rsid w:val="36BE5D1F"/>
    <w:rsid w:val="3A4FCCD2"/>
    <w:rsid w:val="3CA2BFDD"/>
    <w:rsid w:val="41A81629"/>
    <w:rsid w:val="4592B3C2"/>
    <w:rsid w:val="497F1601"/>
    <w:rsid w:val="56022B62"/>
    <w:rsid w:val="58083968"/>
    <w:rsid w:val="6460D9C6"/>
    <w:rsid w:val="6658A750"/>
    <w:rsid w:val="751C5021"/>
    <w:rsid w:val="76CC783F"/>
    <w:rsid w:val="7ADBC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8312"/>
  <w15:docId w15:val="{532B5DEC-557F-42DF-B8AB-09B7B3DC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64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4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374420-a43a-4e3c-bdce-dc0706f20583">
      <Terms xmlns="http://schemas.microsoft.com/office/infopath/2007/PartnerControls"/>
    </lcf76f155ced4ddcb4097134ff3c332f>
    <TaxCatchAll xmlns="37134798-3116-43f7-9189-77c07376bf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22C2CFFDC544EBFF3E31EB6B33B3D" ma:contentTypeVersion="16" ma:contentTypeDescription="Create a new document." ma:contentTypeScope="" ma:versionID="a16b3c13f5b268ce0e9162c973d78185">
  <xsd:schema xmlns:xsd="http://www.w3.org/2001/XMLSchema" xmlns:xs="http://www.w3.org/2001/XMLSchema" xmlns:p="http://schemas.microsoft.com/office/2006/metadata/properties" xmlns:ns2="56374420-a43a-4e3c-bdce-dc0706f20583" xmlns:ns3="37134798-3116-43f7-9189-77c07376bfb1" targetNamespace="http://schemas.microsoft.com/office/2006/metadata/properties" ma:root="true" ma:fieldsID="11c313f8124ec69fe7f42bebd3e505a5" ns2:_="" ns3:_="">
    <xsd:import namespace="56374420-a43a-4e3c-bdce-dc0706f20583"/>
    <xsd:import namespace="37134798-3116-43f7-9189-77c07376b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74420-a43a-4e3c-bdce-dc0706f20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beea50-5b8e-4872-b800-20b9753f2e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34798-3116-43f7-9189-77c07376b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aa30f2-8da5-46c9-b6ce-1e8d9a6786e2}" ma:internalName="TaxCatchAll" ma:showField="CatchAllData" ma:web="37134798-3116-43f7-9189-77c07376b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119B9-AA20-4801-BA16-E45583726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8A7B8-93FB-469B-AD17-EFD31CA9200A}">
  <ds:schemaRefs>
    <ds:schemaRef ds:uri="http://schemas.microsoft.com/office/2006/metadata/properties"/>
    <ds:schemaRef ds:uri="http://schemas.microsoft.com/office/infopath/2007/PartnerControls"/>
    <ds:schemaRef ds:uri="56374420-a43a-4e3c-bdce-dc0706f20583"/>
    <ds:schemaRef ds:uri="37134798-3116-43f7-9189-77c07376bfb1"/>
  </ds:schemaRefs>
</ds:datastoreItem>
</file>

<file path=customXml/itemProps3.xml><?xml version="1.0" encoding="utf-8"?>
<ds:datastoreItem xmlns:ds="http://schemas.openxmlformats.org/officeDocument/2006/customXml" ds:itemID="{C8399772-1A86-43F8-8666-BBAB03ACE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74420-a43a-4e3c-bdce-dc0706f20583"/>
    <ds:schemaRef ds:uri="37134798-3116-43f7-9189-77c07376b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Lucey Westende Junior School</dc:creator>
  <cp:keywords/>
  <cp:lastModifiedBy>Administrator</cp:lastModifiedBy>
  <cp:revision>3</cp:revision>
  <dcterms:created xsi:type="dcterms:W3CDTF">2023-02-26T20:48:00Z</dcterms:created>
  <dcterms:modified xsi:type="dcterms:W3CDTF">2023-02-27T08:24:00Z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0x010100EED22C2CFFDC544EBFF3E31EB6B33B3D</vt:lpwstr>
  </property>
</Properties>
</file>